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A all’Avviso – Modello di domanda di partecipazione</w:t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</w:r>
          </w:p>
          <w:p w:rsidR="00000000" w:rsidDel="00000000" w:rsidP="00000000" w:rsidRDefault="00000000" w:rsidRPr="00000000" w14:paraId="00000008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A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interna ed esterna per il reclutamento di n. 1 Formatore esperto per la realizzazione di n. 2 percorsi per il potenziamento delle competenze STEM della durata di 28 ore cadauno rivolto agli alunni della Scuola Secondaria di I°</w:t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“Linguaggi e STEM”</w:t>
            </w:r>
          </w:p>
          <w:p w:rsidR="00000000" w:rsidDel="00000000" w:rsidP="00000000" w:rsidRDefault="00000000" w:rsidRPr="00000000" w14:paraId="00000011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B34D23003250006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17dzdoopsd3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4"/>
      <w:bookmarkEnd w:id="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before="12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Formatore esperto</w:t>
      </w:r>
    </w:p>
    <w:p w:rsidR="00000000" w:rsidDel="00000000" w:rsidP="00000000" w:rsidRDefault="00000000" w:rsidRPr="00000000" w14:paraId="0000001E">
      <w:pPr>
        <w:spacing w:after="120" w:line="276" w:lineRule="auto"/>
        <w:ind w:left="0" w:firstLine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after="120" w:before="120" w:line="276" w:lineRule="auto"/>
        <w:ind w:left="426" w:hanging="426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426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360" w:before="120" w:line="276" w:lineRule="auto"/>
        <w:ind w:left="425" w:hanging="425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C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ovvero, nel caso in cui sussistano situazioni di incompatibilità, che le stesse sono le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1fob9te" w:id="5"/>
      <w:bookmarkEnd w:id="5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b w:val="1"/>
        <w:i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6"/>
    <w:bookmarkEnd w:id="6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8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4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pPr>
      <w:keepNext w:val="1"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link w:val="TitoloCarattere"/>
    <w:uiPriority w:val="10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styleId="sche23" w:customStyle="1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6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TVFO+QhLYm4TyVlS7PeKyUwe9g==">CgMxLjAyDmguajRxdnkxbHZyeWxkMg5oLjU4MHRqejE0ZGE4azIOaC4xN2R6ZG9vcHNkM3MyDmguYmxvd3UwZjhvenNxMgloLjMwajB6bGwyCWguMWZvYjl0ZTIJaC4yZXQ5MnAwOAByITFlajZSeDRESXdSSExsbDgxeHVSSlBNdWtZc0I0SGJjMQ==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